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2024-09-09/033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Kanalsanierung SWK - Barghamm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Art und Umfang der Leistung sind dem beigefügten LV zu entnehmen.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